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АДМИНИСТРАЦИЯ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ДИЧНЯНСКОГО СЕЛЬСОВЕТА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КУРЧАТОВСКОГО РАЙОНА КУРСКОЙ ОБЛАСТИ</w:t>
      </w: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881">
        <w:rPr>
          <w:rFonts w:ascii="Times New Roman" w:hAnsi="Times New Roman"/>
          <w:b/>
          <w:sz w:val="28"/>
          <w:szCs w:val="28"/>
        </w:rPr>
        <w:t>ПОСТАНОВЛЕНИЕ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от   </w:t>
      </w:r>
      <w:r w:rsidR="00D156B1">
        <w:rPr>
          <w:rFonts w:ascii="Times New Roman" w:hAnsi="Times New Roman"/>
          <w:sz w:val="28"/>
          <w:szCs w:val="28"/>
        </w:rPr>
        <w:t xml:space="preserve">18 августа   </w:t>
      </w:r>
      <w:r w:rsidRPr="00AF3881">
        <w:rPr>
          <w:rFonts w:ascii="Times New Roman" w:hAnsi="Times New Roman"/>
          <w:sz w:val="28"/>
          <w:szCs w:val="28"/>
        </w:rPr>
        <w:t>2017 года №</w:t>
      </w:r>
      <w:r w:rsidR="00D156B1">
        <w:rPr>
          <w:rFonts w:ascii="Times New Roman" w:hAnsi="Times New Roman"/>
          <w:sz w:val="28"/>
          <w:szCs w:val="28"/>
        </w:rPr>
        <w:t>157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Дичнянского сельсовета Курчатовского района  Курской области от 07.05.2013г. №47 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«О плане мероприятий («дорожная карта») «Изменения в отраслях социальной сферы,  направленные на повышение эффективности 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>сферы культуры»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В соответствии с изменениями, утвержденными постановлением Администрации Курской области от 16.12.2016г. №15-па, в план мероприятий ("дорожную карту") "Изменения в отраслях социальной сферы, направленные на  повышение эффективности сферы культуры"  Администрация Дичнянского сельсовета Курчатовского района Курской области постановляет: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1.Внести изменение в Приложение к постановлению Администрации Дичнянского сельсовета Курчатовского района Курской области от 07 мая 2013 года №47 «О плане мероприятий («дорожная карта») «Изменения в отраслях социальной сферы, направленные на повышение эффективности сферы культуры»: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1) Глава VI Показатели нормативов для соглашения "дорожной карты" изложить в новой редакции (прилагается).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  <w:t>2.Постановление вступает в силу с момента подписания и распространяется на правоотношения, возникшие с 01 января 2017 года.</w:t>
      </w: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F3881" w:rsidRPr="00AF3881" w:rsidRDefault="00AF3881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 xml:space="preserve"> Глава  сельсовета                               В.Н.Тарасов</w:t>
      </w: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66F8" w:rsidRPr="00AF3881" w:rsidRDefault="004D66F8" w:rsidP="00AF388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F3881">
        <w:rPr>
          <w:rFonts w:ascii="Times New Roman" w:hAnsi="Times New Roman"/>
          <w:sz w:val="28"/>
          <w:szCs w:val="28"/>
        </w:rPr>
        <w:tab/>
      </w: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AF3881" w:rsidRDefault="004D66F8" w:rsidP="00AF3881">
      <w:pPr>
        <w:pStyle w:val="tekstob"/>
        <w:tabs>
          <w:tab w:val="left" w:pos="3896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  <w:bookmarkStart w:id="0" w:name="_GoBack"/>
      <w:bookmarkEnd w:id="0"/>
    </w:p>
    <w:p w:rsidR="004D66F8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34288B">
      <w:pPr>
        <w:pStyle w:val="tekstob"/>
        <w:tabs>
          <w:tab w:val="left" w:pos="3896"/>
        </w:tabs>
        <w:spacing w:before="0" w:beforeAutospacing="0" w:after="0" w:afterAutospacing="0"/>
        <w:jc w:val="both"/>
      </w:pPr>
    </w:p>
    <w:p w:rsidR="004D66F8" w:rsidRPr="0024492B" w:rsidRDefault="004D66F8" w:rsidP="00433B4B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План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мероприятий («дорожная карта») «Изменения в отраслях социальной сферы, направленные на повышение эффективности сферы культуры»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 Цели разработки «дорожной карты»</w:t>
      </w: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Целями плана мероприятий («дорожная карта») «Изменения в отраслях социальной сферы, направленные на повышение эффективности сферы культуры» (далее - «дорожная карта») являются: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качества жизни населения Дичнянского сельсовета Курчатовского района Курской области путем предоставления им возможности саморазвития через регулярные занятия творчеством по свободно выбранному ими направлению, воспитание (формирование) подрастающего поколения в духе культурных традиций страны, создание условий для развития творческих способностей и социализации современной молодежи, самореализации и духовного обогащения творчески активной части населения;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обеспечение достойной оплаты труда работников учреждений культуры, как результат повышения качества и количества оказываемых ими муниципальных услуг;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развитие и сохранение кадрового потенциала учреждений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повышение престижности и привлекательности профессий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сохранение культурного и исторического наследия, обеспечение доступа граждан к культурным ценностям и участию в культурной жизни, реализация творческого потенциала населения Дичнянского сельсовета Курчатовского района;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создание благоприятных условий для устойчивого развития сферы культуры.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Проведение структурных реформ в сфере культуры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 рамках структурных реформ предусматривается: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повышение качества и расширение спектра муниципальных услуг в сфере культуры;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обеспечение доступности к культурному продукту путем информатизации отрасли; 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формирование конкурентной среды в отрасли культуры путем расширения поддержки творческих проектов;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создание условий для творческой самореализации населения Дичнянского сельсовета  Курчатовского района Курской области;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вовлечение населения в создание и продвижение культурного продукта;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участие сферы культуры в формировании комфортной среды жизнедеятельности населенных пунктов;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популяризация территорий Дичнянского сельсовета Курчатовского района Курской области во внутреннем и внешнем культурно-туристическом пространстве.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3. Целевые показатели (индикаторы) развития сферы культуры и меры, обеспечивающие их достижение</w:t>
      </w:r>
    </w:p>
    <w:p w:rsidR="004D66F8" w:rsidRPr="0024492B" w:rsidRDefault="004D66F8" w:rsidP="00A70B7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С ростом эффективности и качества оказываемых услуг будут достигнуты следующие целевые показатели (индикаторы):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24492B">
        <w:rPr>
          <w:rFonts w:ascii="Times New Roman" w:hAnsi="Times New Roman"/>
          <w:sz w:val="24"/>
          <w:szCs w:val="24"/>
        </w:rPr>
        <w:t xml:space="preserve">      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увеличение количества посещений театрально-концертных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2"/>
        <w:gridCol w:w="1316"/>
        <w:gridCol w:w="1339"/>
        <w:gridCol w:w="1266"/>
        <w:gridCol w:w="1259"/>
        <w:gridCol w:w="1309"/>
        <w:gridCol w:w="1335"/>
        <w:gridCol w:w="254"/>
      </w:tblGrid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8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6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7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7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1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6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4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2) увеличение количества библиографических записей библиотек Курской области в сводном электронном каталоге библиотек России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3) увеличение доли объектов культурного наследия, расположенных на территории Курской области, информация о которых внесена в электронную базу данных единого государственного реестра объектов культурного наследия (памятников истории и культуры) народов Российской Федерации, в общем количестве объектов культурного наследия: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увеличение доли представленных (во всех формах) зрителю музейных предметов в общем количестве музейных предметов основного фонда: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5) увеличение посещаемости музейных учреждений: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(посещений на 1 жителя в год)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6) увеличение численности участников культурно- досуговых мероприятий (по сравнению с предыдущим годом):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7) повышение уровня удовлетворенности населения Курской области качеством предоставления государственных и муниципальных услуг в сфере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tabs>
                <w:tab w:val="left" w:pos="93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8) увеличение доли объектов культурного наследия, находящихся в удовлетворительном состоянии, в общем количестве объектов культурного наследия федерального, регионального и местного (муниципального) значения: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9) увеличение доли публичных библиотек, подключенных к сети "Интернет", в общем количестве библиотек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AF38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10) увеличение доли музеев, имеющих сайт в сети «Интернет», в общем количестве музеев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11) увеличение количества выставочных проектов, осуществляемых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 по отношению к 2012 году)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9"/>
        <w:gridCol w:w="1298"/>
        <w:gridCol w:w="1296"/>
        <w:gridCol w:w="1296"/>
        <w:gridCol w:w="1298"/>
        <w:gridCol w:w="1298"/>
        <w:gridCol w:w="266"/>
      </w:tblGrid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12) увеличение доли детей, привлекаемых к участию в творческих мероприятиях, в общем числе детей: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9"/>
        <w:gridCol w:w="1298"/>
        <w:gridCol w:w="1298"/>
        <w:gridCol w:w="1296"/>
        <w:gridCol w:w="1296"/>
        <w:gridCol w:w="1298"/>
        <w:gridCol w:w="1298"/>
        <w:gridCol w:w="267"/>
      </w:tblGrid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15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Мерами, обеспечивающими достижение целевых показателей (индикаторов) развития сферы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 создание механизма стимулирования работников учреждений культуры, оказывающих услуги (выполняющих работы) различной сложности, включающего установление более высокого уровня заработной платы, обеспечение выполнения требований к качеству оказания услуг, прозрачное формирование оплаты труда, внедрение современных норм труда, направленных на повышение качества оказания муниципальных услуг;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2) поэтапный рост оплаты труда работников учреждений культуры, достижение целевых показателей по доведению уровня оплаты труда (средней заработной платы) работников учреждений культуры до средней заработной платы в Курской области в соответствии с </w:t>
      </w:r>
      <w:hyperlink r:id="rId7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3) обновление квалификационных требований к работникам, переобучение, повышение квалификации, приток квалифицированных кадров, создание предпосылок для появления в бюджетном секторе конкурентоспособных специалистов и менеджеров, сохранение и развитие кадрового потенциала работников сферы культуры;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4) реорганизация неэффективных учреждений культуры.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IV. Мероприятия по совершенствованию оплаты труда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работников учреждений культуры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1. Разработка и проведение мероприятий по совершенствованию оплаты труда работников учреждений культуры должны осуществляться с учетом </w:t>
      </w:r>
      <w:hyperlink r:id="rId8" w:history="1">
        <w:r w:rsidRPr="0024492B">
          <w:rPr>
            <w:rFonts w:ascii="Times New Roman" w:hAnsi="Times New Roman"/>
            <w:sz w:val="24"/>
            <w:szCs w:val="24"/>
          </w:rPr>
          <w:t>Программы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поэтапного совершенствования системы оплаты труда в муниципальных учреждениях на 2012 - 2018 годы, утвержденной распоряжением Правительства Российской Федерации от 26 ноября 2012 г. N 2190-р, Единых рекомендаций по установлению на федеральном, региональном и местном уровнях систем оплаты труда работников государственных и муниципальных учреждений, утверждаемых на соответствующий год решением </w:t>
      </w:r>
      <w:r w:rsidRPr="0024492B">
        <w:rPr>
          <w:rFonts w:ascii="Times New Roman" w:hAnsi="Times New Roman"/>
          <w:sz w:val="24"/>
          <w:szCs w:val="24"/>
        </w:rPr>
        <w:lastRenderedPageBreak/>
        <w:t>Российской трехсторонней комиссии по регулированию социально-трудовых отношений. Учитывая специфику деятельности учреждений культуры, при планировании размеров средств, направляемых на повышение заработной платы работников, в качестве приоритетных должны рассматриваться библиотеки, культурно- досуговые учреждения и музеи. При этом объемы финансирования должны соотноситься с выполнением этими учреждениями показателей эффективности и достижением целевых показателей (индикаторов).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2. Показателями (индикаторами), характеризующими эффективность мероприятий по совершенствованию оплаты труда работников учреждений культуры, являются: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1) динамика примерных (индикативных) значений соотношения средней заработной платы работников учреждений культуры, повышение оплаты труда которых предусмотрено </w:t>
      </w:r>
      <w:hyperlink r:id="rId9" w:history="1">
        <w:r w:rsidRPr="0024492B">
          <w:rPr>
            <w:rFonts w:ascii="Times New Roman" w:hAnsi="Times New Roman"/>
            <w:sz w:val="24"/>
            <w:szCs w:val="24"/>
          </w:rPr>
          <w:t>Указом</w:t>
        </w:r>
      </w:hyperlink>
      <w:r w:rsidRPr="0024492B">
        <w:rPr>
          <w:rFonts w:ascii="Times New Roman" w:hAnsi="Times New Roman"/>
          <w:sz w:val="24"/>
          <w:szCs w:val="24"/>
        </w:rPr>
        <w:t xml:space="preserve"> Президента Российской Федерации от 7 мая 2012 г. N 597 "О мероприятиях по реализации государственной социальной политики", и средней заработной платы в Курской области: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1)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(процентов)</w:t>
      </w:r>
    </w:p>
    <w:tbl>
      <w:tblPr>
        <w:tblW w:w="49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8"/>
        <w:gridCol w:w="1467"/>
        <w:gridCol w:w="1467"/>
        <w:gridCol w:w="1465"/>
        <w:gridCol w:w="1465"/>
        <w:gridCol w:w="1599"/>
        <w:gridCol w:w="238"/>
      </w:tblGrid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800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99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66F8" w:rsidRPr="0024492B" w:rsidTr="00A70B71">
        <w:trPr>
          <w:jc w:val="center"/>
        </w:trPr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800" w:type="pct"/>
          </w:tcPr>
          <w:p w:rsidR="004D66F8" w:rsidRPr="0024492B" w:rsidRDefault="00371381" w:rsidP="0034288B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800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73,7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82,4</w:t>
            </w:r>
          </w:p>
        </w:tc>
        <w:tc>
          <w:tcPr>
            <w:tcW w:w="799" w:type="pct"/>
          </w:tcPr>
          <w:p w:rsidR="004D66F8" w:rsidRPr="0024492B" w:rsidRDefault="00371381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66F8" w:rsidRPr="0024492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72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:rsidR="004D66F8" w:rsidRPr="0024492B" w:rsidRDefault="004D66F8" w:rsidP="00A70B71">
            <w:pPr>
              <w:pStyle w:val="ConsPlusCell"/>
              <w:spacing w:line="276" w:lineRule="auto"/>
              <w:ind w:left="-238" w:right="-10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2) численность работников муниципальных учреждений культуры: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( человек)</w:t>
      </w:r>
    </w:p>
    <w:tbl>
      <w:tblPr>
        <w:tblW w:w="48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3"/>
        <w:gridCol w:w="1283"/>
        <w:gridCol w:w="1283"/>
        <w:gridCol w:w="1279"/>
        <w:gridCol w:w="1279"/>
        <w:gridCol w:w="1283"/>
        <w:gridCol w:w="1281"/>
      </w:tblGrid>
      <w:tr w:rsidR="004D66F8" w:rsidRPr="0024492B" w:rsidTr="00D657A7">
        <w:trPr>
          <w:trHeight w:val="359"/>
          <w:jc w:val="center"/>
        </w:trPr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2012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2013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2014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2015 год</w:t>
            </w:r>
          </w:p>
        </w:tc>
        <w:tc>
          <w:tcPr>
            <w:tcW w:w="713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715" w:type="pct"/>
          </w:tcPr>
          <w:p w:rsidR="004D66F8" w:rsidRPr="0024492B" w:rsidRDefault="004D66F8" w:rsidP="00A70B71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D657A7">
        <w:trPr>
          <w:trHeight w:val="376"/>
          <w:jc w:val="center"/>
        </w:trPr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713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pct"/>
          </w:tcPr>
          <w:p w:rsidR="004D66F8" w:rsidRPr="0024492B" w:rsidRDefault="004D66F8" w:rsidP="004C0D4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9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C95445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3) Увеличение объёма средств получаемых от приносящей доход деятельности: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</w:p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4) Количественные показатели доходов от приносящей деятельности, направляемых на повышение заработной платы: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34"/>
        <w:gridCol w:w="1334"/>
        <w:gridCol w:w="1335"/>
        <w:gridCol w:w="1335"/>
        <w:gridCol w:w="1335"/>
        <w:gridCol w:w="1336"/>
        <w:gridCol w:w="1336"/>
      </w:tblGrid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2018 год</w:t>
            </w:r>
          </w:p>
        </w:tc>
      </w:tr>
      <w:tr w:rsidR="004D66F8" w:rsidRPr="0024492B" w:rsidTr="007F1785"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BF4AD6">
      <w:pPr>
        <w:rPr>
          <w:rFonts w:ascii="Times New Roman" w:hAnsi="Times New Roman"/>
          <w:sz w:val="24"/>
          <w:szCs w:val="24"/>
        </w:rPr>
        <w:sectPr w:rsidR="004D66F8" w:rsidRPr="0024492B" w:rsidSect="004A42EC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lastRenderedPageBreak/>
        <w:t>V. Основные мероприятия, направленные на повышение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эффективности и качества предоставляемых услуг в сфере</w:t>
      </w:r>
    </w:p>
    <w:p w:rsidR="004D66F8" w:rsidRPr="0024492B" w:rsidRDefault="004D66F8" w:rsidP="00A70B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>культуры, связанные с переходом на эффективный контракт</w:t>
      </w:r>
    </w:p>
    <w:tbl>
      <w:tblPr>
        <w:tblW w:w="15250" w:type="dxa"/>
        <w:jc w:val="center"/>
        <w:tblLook w:val="00A0" w:firstRow="1" w:lastRow="0" w:firstColumn="1" w:lastColumn="0" w:noHBand="0" w:noVBand="0"/>
      </w:tblPr>
      <w:tblGrid>
        <w:gridCol w:w="4502"/>
        <w:gridCol w:w="181"/>
        <w:gridCol w:w="3221"/>
        <w:gridCol w:w="91"/>
        <w:gridCol w:w="181"/>
        <w:gridCol w:w="4497"/>
        <w:gridCol w:w="50"/>
        <w:gridCol w:w="131"/>
        <w:gridCol w:w="2304"/>
        <w:gridCol w:w="52"/>
        <w:gridCol w:w="40"/>
      </w:tblGrid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 исполнитель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Сроки исполнения</w:t>
            </w:r>
          </w:p>
        </w:tc>
      </w:tr>
      <w:tr w:rsidR="004D66F8" w:rsidRPr="0024492B" w:rsidTr="00A70B71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Совершенствование системы оплаты труда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1. Разработка (изменение) показателей эффективности деятельности подведомственных органам местного самоуправления Дичнянского сельсовета Курчатовского района Курской области учреждений культуры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highlight w:val="green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046214">
        <w:trPr>
          <w:trHeight w:val="1646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3656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2. Оценка эффективности деятельности муниципальных учреждений культуры осуществляющих деятельность на территории Дичнянского сельсовета Курчатовского района Курской области, и их руководителей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Аналитическая записка Главе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3. Внесение изменений в  положения по оплате труда работников учреждений культуры, , обеспечивающих достижение показателей повышения оплаты труда в соответствии с Указом Президента Российской Федерации от 7 мая 2012 г. № 597 в соответствии с нормативными актами Минкультуры России и Минтруда России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Нормативный акт  Собрания депутатов Дичнянского сельсовета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6443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 Внесение изменений  в положения об оплате труда работников муниципальных учреждений культуры, осуществляющих деятельность на территории Дичнянского сельсовета Курчатовского района Курской области, и коллективные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договоры в части совершенствования системы оплаты труда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Локальные нормативные акты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4.Разработка (корректировка) методических рекомендаций для органов местного самоуправления в Курчатовском районе по разработке примерных положений по оплате труда работников муниципальных учреждений культуры, </w:t>
            </w:r>
            <w:r w:rsidRPr="0024492B">
              <w:rPr>
                <w:rStyle w:val="FontStyle12"/>
                <w:sz w:val="24"/>
                <w:szCs w:val="24"/>
              </w:rPr>
              <w:lastRenderedPageBreak/>
              <w:t>осуществляющих деятельность на территории Курчатовского района Курской области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1504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5. Проведение анализа и мониторинга расходов на содержание и функционирование муниципальных учреждений культуры, осуществляющих деятельность на территории Дичнянского сельсовета Курчатовского района Курской области, в целях привлечения средств за счёт сокращения неэффективных расходов на повышение заработной платы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D350F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отдел культуры по делам молодёжи, физической культуры и спорту Администрации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5D0A6A">
        <w:trPr>
          <w:trHeight w:val="2058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155A0">
            <w:pPr>
              <w:pStyle w:val="a3"/>
              <w:rPr>
                <w:rStyle w:val="FontStyle12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6.Проведение мероприятий по внедрению систем нормирования труда в муниципальных учреждениях культуры с учётом типовых (межотраслевых) норм труда, методических рекомендаций, утверждённых приказом Министерства труда и социальной защиты Российской Федерации от 30.09.2013 № 504 «Об утверждении методических рекомендаций по разработке систем нормирования труда в муниципальных учреждениях»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Дичнянского сельсовета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2015- 2017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7. Внедрение утверждённых типовых отраслевых норм труда работников учреждений культуры:   культурно- досуговых учреждений на основе методических рекомендаций комитета по культуре Курской области с учётом необходимости качественного оказания муниципальных услуг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Правовые акты органов местного самоуправления Дичнянского сельсовета Курчатовского района Курской области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2014- 2017 годы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723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8.Внедрение нормативно- подушевого финансирования в муниципальных учреждениях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Постановление Администрации Дичнянского сельсовета  Курчатовского района  Курской области, муниципальные правовые акты, локальные акты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2014- 2015 годы</w:t>
            </w:r>
          </w:p>
        </w:tc>
      </w:tr>
      <w:tr w:rsidR="004D66F8" w:rsidRPr="0024492B" w:rsidTr="00F25E89">
        <w:trPr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Контроль за выполнением в полном объёме мер по созданию прозрачного механизма оплаты труда руководителей </w:t>
            </w:r>
          </w:p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муниципальных  учреждений</w:t>
            </w:r>
          </w:p>
          <w:p w:rsidR="004D66F8" w:rsidRPr="0024492B" w:rsidRDefault="004D66F8" w:rsidP="00B42E68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9.Заключение дополнительных соглашений к трудовым договорам с руководителями учреждений (трудовых договоров для вновь назначаемых руководителей) по типовой форме, в соответствии с постановлением Правительтства Российской Федерации от 12 апреля 2013 г. № 329 «О типовыой форме трудового договора с руководителем муниципального учреждения»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Приведение трудовых договоров руководителями учреждений культуры в соответствии с типовой формой 100%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B9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2A1B9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Ежегодно, по мере необходимости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12. Предоставление руководителями муниципальных учреждений культуры, осуществляющих деятельность на территории Курчатовского района Курской области сведений о доходах, об имуществе и обязательствах имущественного характера, его супруги (супруга) и несовершеннолетних детей, а ткже граждан, претендующих на занятие соответствующей должности, и размещение их в сети « Интернет»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100 % размещённые в сети Интернет справки о доходах, об имуществе и обязательствах имущественного характера руководителей учреждений культуры, создание прозрачного механизма оплаты труда руководителей учреждений культуры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0580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13. Проведение проверок достоверности и полноты сведений о доходах, об имущественных обязательствах имущественного характера руководителя муниципального учреждения культуры, осуществляющего деятельность на территории Курчатовского района Курской области, его супруги (супруга) и несовершеннолетних детей, а также граждан, претендующих на занятие соответствующей должности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Акты проверок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0B71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Ежегодно</w:t>
            </w:r>
          </w:p>
        </w:tc>
      </w:tr>
      <w:tr w:rsidR="004D66F8" w:rsidRPr="0024492B" w:rsidTr="00A70B71">
        <w:trPr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14.Соблюдение установленных соотношений средней заработной платы руководителей муниципальных учреждений культуры, осуществляющих деятельность на территории Курчатовского района Курской области, и средней заработной платы работников учреждений в кратности от 1до 3 , установленных постановлением Губернатора Курской области от 29.12.2007 № 596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Поддержание уровня соотношения средней заработной платы руководителей муниципальных учреждений культуры и средней заработной платы работников учреждений</w:t>
            </w:r>
            <w:r w:rsidRPr="0024492B">
              <w:rPr>
                <w:rStyle w:val="FontStyle12"/>
                <w:sz w:val="24"/>
                <w:szCs w:val="24"/>
              </w:rPr>
              <w:t xml:space="preserve"> 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A70B71">
        <w:trPr>
          <w:trHeight w:val="2173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15. Разработка и утверждение методики оценки деятельности руководителя муниципального учреждения культуры, осуществляющего деятельность на территории Дичнянского сельсовета Курчатовского района Курской области, для расчета премии и стимулирующей надбавки к должностному окладу, предусматривающей в качестве одного из критериев деятельности руководителя для осуществления стимулирующих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выплат соотношение  средней заработной платы работников данного учреждения со средней заработной платой в Курской области, и проведение мониторинга за соблюдением данного требования в учреждениях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правовые акты 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25E8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671B0B">
        <w:trPr>
          <w:trHeight w:val="469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671B0B">
            <w:pPr>
              <w:pStyle w:val="a3"/>
              <w:tabs>
                <w:tab w:val="left" w:pos="3100"/>
              </w:tabs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ab/>
              <w:t xml:space="preserve">                  Развитие кадрового потенциала работников учреждений культуры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E77BB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16.Внедрение показателей эффективности деятельности работников муниципальных учреждений культуры, в соответствии с методическими рекомендациями, утверждёнными постановлением Администрации Курской области от 27.02.2013 г. № 84 - па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правовые акты органов местного самоуправления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330384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17. Анализ лучших практик внедрения показателей эффективности деятельности работников муниципальных учреждений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75A0B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18. Актуализация квалификационных требований и компетенций, необходимых для оказания муниципальных услуг (выполнения работ), проведение мероприятий по повышению квалификаций и переподготовки работников муниципальных учреждений с целью обеспечения соответствия работников современным квалификационным требованиям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План мероприятий отдела культуры, по делам молодежи, физической культуре и спорту Администрации Курчатовского района Курской области по повышению квалификации, отчёт в комитет по культуре 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19.Внедрение профессиональных стандартов в сфере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 2015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20. Разработка основных положений о порядке проведения аттестации работников муниципальных учреждений культуры, осуществляющих деятельность на территории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502C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Распоряжение  Администрации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2162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21. Проведение аттестации работников муниципальных учреждений культуры с последующим их переводом на «эффективный контракт»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Заключение аттестационной комиссии с последующим переводом работников на «Эффективный контракт», трудовые договоры, дополнительные соглашения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22.Обеспечение дифференциации оплаты труда основного и прочего персонала, оптимизация расходов на административно- управленческий и вспомогательный персонал муниципальных учреждений культуры, осуществляющих деятельность на территории Курчатовского района Курской области, с учётом предельной доли расходов на оплату их труда в фонде оплаты труда учреждения- не более 40 процентов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Постановление  Администрации Курчатовского района Курской области, муниципальные правовые акты, поддержание установленной доли. Отчёт в Комитет по культуре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A70B71">
        <w:trPr>
          <w:trHeight w:val="2235"/>
          <w:jc w:val="center"/>
        </w:trPr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FA4999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23. Обеспечение соотношения средней заработной платы основного и вспомогательного персонала муниципальных учреждений до с учётом типа учреждения.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Отчет отдела культуры, по делам молодежи, физической культуре и спорту в Администрацию Курчатовского района Курской области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5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Ежегодно, начиная с 2014 года</w:t>
            </w:r>
          </w:p>
        </w:tc>
      </w:tr>
      <w:tr w:rsidR="004D66F8" w:rsidRPr="0024492B" w:rsidTr="00AA0093">
        <w:trPr>
          <w:trHeight w:val="513"/>
          <w:jc w:val="center"/>
        </w:trPr>
        <w:tc>
          <w:tcPr>
            <w:tcW w:w="15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        Мониторинг достижения целевых показателей средней заработной платы работников сферы культуры, определённых Указом Президента                             Российской Федерации от 7 мая 2012 года №597 « О мероприятиях по реализации государственной социальной политики</w:t>
            </w:r>
          </w:p>
          <w:p w:rsidR="004D66F8" w:rsidRPr="0024492B" w:rsidRDefault="004D66F8" w:rsidP="00330384">
            <w:pPr>
              <w:pStyle w:val="a3"/>
              <w:rPr>
                <w:rStyle w:val="FontStyle12"/>
                <w:sz w:val="24"/>
                <w:szCs w:val="24"/>
              </w:rPr>
            </w:pP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24. Обеспечение деятельности постоянно действующей  рабочей группы по оценке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реализации мероприятий по повышению оплаты труда работников муниципальных учреждений культуры, осуществляющих деятельность на территории Курчатовского района Курской области, и оценке результатов реализации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Протоколы заседаний  рабочей группы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25. Проведение предварительного анализа уровня и динамики заработной платы работников учреждений культуры, повышение заработной платы которых предусмотрено Указом Президента Российской Федерации от 7 мая 2012 года № 597 « О мероприятиях по реализации государственной социальной политики», с учётом ситуации на рынке труда, в том числе в части дефицита (избытка ) кадров, с целью недопущения отставания от установленных Планом мероприятий  («дорожной картой») «Изменения в отраслях социальной сферы,  направленные на повышение эффективности сферы культуры»,утверждённым распоряжением Правительства Российской  Федерации от 28 декабря 2012 года № 2606-р,и региональной «дорожной картой» целевых показателей динамики повышения заработной платы работников учреждений  культуры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Аналитические  справки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начиная с 2014 года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26. Отчет дополнительной потребности и учет при формировании бюджета Курчатовского района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оплаты труда работников муниципальных учреждений культуры, осуществляющих деятельность на территории  Курчатовского района Курской области, в соответствии с Указом Президента Российской Федерации от 7 мая 2012 года № 597 « 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Проекты нормативных муниципальных  правовых актов, устанавливающих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расходные обязательства муниципальных образований Курчатовского района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27. Обеспечение предоставления форм областного статистического наблюдения за показателями заработной платы категорий работников, повышение оплаты труда которых предусмотрено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Формы статистического  наблюдения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Ежеквартально, в установленные сроки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28. Мониторинг выполнения мероприятий по повышению оплаты труда работников, определённых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Один раз в полугодие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29. Мониторинг реализации органами местного самоуправления в Курчатовском районе Курской области Программы поэтапного совершенствования системы оплаты труда в муниципальных  учреждениях на 2012- 2018 годы, утверждённой  распоряжением Правительства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от 26 ноября 2012 года № 2190- р по формам, утверждённым приказом Минтруда России от 31 мая 2013 года № 234а «О формах мониторинга реализации Программы поэтапного совершенствования системы оплаты труда в муниципальных учреждениях на 2012- 2018 годы»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Отчёт отдела культуры по делам молодёжи, физической культуры и спорту  Администрации Курчатовского района Курской области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Начиная с 2014 года ежегодно 31 декабря, </w:t>
            </w:r>
          </w:p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 июня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30. Разработка и утверждение форм мониторинга реализации мероприятий и достижения целевых показателей (индикаторов)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 Администрации Курчатовского района Курской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31. Проведение мониторинга реализации мероприятий, предусмотренных «дорожной картой», и достижения целевых показателей (индикаторов ) «дорожной карты»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Style w:val="FontStyle12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Информация в комитет по культуре Курской области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32. Уточнение потребности в дополнительных ресурсах на повышение заработной платы работников учреждений культуры с учётом возможного привлечения не менее трети средств за счёт реорганизации неэффективных учреждений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Рекомендации главам муниципальных образований, информация в </w:t>
            </w:r>
            <w:r w:rsidRPr="0024492B">
              <w:rPr>
                <w:rStyle w:val="FontStyle12"/>
                <w:sz w:val="24"/>
                <w:szCs w:val="24"/>
              </w:rPr>
              <w:t xml:space="preserve">отдел культуры, по делам молодежи, физической культуре и спорту Администрации Курчатовского района Курской области 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40" w:type="dxa"/>
        </w:trPr>
        <w:tc>
          <w:tcPr>
            <w:tcW w:w="4502" w:type="dxa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33. Разъяснительная работа с участием профсоюзных организаций о мероприятиях, реализуемых в рамках районной «дорожной карты», в том числе мерах по повышению оплаты труда</w:t>
            </w:r>
          </w:p>
        </w:tc>
        <w:tc>
          <w:tcPr>
            <w:tcW w:w="3402" w:type="dxa"/>
            <w:gridSpan w:val="2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Проведение семинаров, совещаний, публикации в средствах массовой информации и информационно- коммуникационной сети Интернет</w:t>
            </w:r>
          </w:p>
        </w:tc>
        <w:tc>
          <w:tcPr>
            <w:tcW w:w="4819" w:type="dxa"/>
            <w:gridSpan w:val="4"/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487" w:type="dxa"/>
            <w:gridSpan w:val="3"/>
          </w:tcPr>
          <w:p w:rsidR="004D66F8" w:rsidRPr="0024492B" w:rsidRDefault="004D66F8" w:rsidP="007F1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151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Независимая система оценки качества работы муниципальных учреждений культуры</w:t>
            </w:r>
          </w:p>
        </w:tc>
      </w:tr>
      <w:tr w:rsidR="004D66F8" w:rsidRPr="0024492B" w:rsidTr="00FE376A">
        <w:trPr>
          <w:gridAfter w:val="2"/>
          <w:wAfter w:w="92" w:type="dxa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tekstob"/>
              <w:spacing w:before="0" w:beforeAutospacing="0" w:after="0" w:afterAutospacing="0"/>
            </w:pPr>
            <w:r w:rsidRPr="0024492B">
              <w:t>34.Обеспечение функционирования независимой системы оценки качества работы муниципальных учреждений культуры в соответствии с постановлением Правительства Российской Федерации от 30 марта 2013 года №286 «О формировании независимой системы оценки качества работы, организаций, оказывающих социальные услуги»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rPr>
                <w:rStyle w:val="FontStyle12"/>
                <w:sz w:val="24"/>
                <w:szCs w:val="24"/>
              </w:rPr>
              <w:t>Отчёт отдела культуры по делам молодёжи, физической культуры и спорту Администрации  Курчатовского района Курской области , Комитет по культуре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tekstob"/>
              <w:spacing w:before="0" w:beforeAutospacing="0" w:after="0" w:afterAutospacing="0"/>
            </w:pPr>
            <w:r w:rsidRPr="0024492B"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173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04BF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35.Обеспечение координации работы по реализации в районе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Курчатовского района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0794A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36.Завершение с участием общественных организаций, независимых экспертов формирования общественного совета по проведению независимой оценки качества работы организаций культуры и составлению рейтингов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кв. 2014 года</w:t>
            </w: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</w:p>
          <w:p w:rsidR="004D66F8" w:rsidRPr="0024492B" w:rsidRDefault="004D66F8" w:rsidP="00A77522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7E6734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37.Обеспечение организационно- технического сопровождения деятельности общественного совета при отделе культуры по делам молодёжи, физической культуры и спорту Курчатовского района Курской области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BD6DE3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Распоряжение Администрации Курчатовского района Курской области              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278C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 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38.Активизация участия социально ориентированных некоммерческих организаций в проведении независимой оценки 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Проведение совместной работы по формированию и функционированию системы независимой оценки качества работы учреждений культуры Курчатовского района Курской области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2 полугодие 2015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1054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39. Обеспечение открытости и доступности информации о деятельности всех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Создание официальных сайтов учреждений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 квартал 2014 года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40. Проведение мониторинга работы организаций культуры, формирование независимой оценки качества работы Учреждений культуры, составление рейтингов их деятельности в соответствии с принятыми нормативными и методическими документами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Публикация рейтингов деятельности, разработка и утверждение планов работы организаций культуры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lastRenderedPageBreak/>
              <w:t>41. Проведение информационной компании в средствах массовой информации, в том числе с использованием информационно- телекоммуникационной сети «Интернет» о функционировании независимой оценки качества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Повышение информированности потребителей услуг и общественности о проведении независимой оценки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42. Проведение мониторинга функционирования независимой системы оценки качества работы организаций культуры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 xml:space="preserve">Отчет о реализации независимой системы в Комитет по культуре Курской области. 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Ежегодно</w:t>
            </w:r>
          </w:p>
        </w:tc>
      </w:tr>
      <w:tr w:rsidR="004D66F8" w:rsidRPr="0024492B" w:rsidTr="00FE376A">
        <w:trPr>
          <w:gridAfter w:val="2"/>
          <w:wAfter w:w="92" w:type="dxa"/>
          <w:trHeight w:val="2235"/>
          <w:jc w:val="center"/>
        </w:trPr>
        <w:tc>
          <w:tcPr>
            <w:tcW w:w="4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43. Обсуждение хода реализации районной «дорожной карты»</w:t>
            </w:r>
          </w:p>
        </w:tc>
        <w:tc>
          <w:tcPr>
            <w:tcW w:w="3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A77522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Протокол заседания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E372ED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МКУ «ЦК ИД»</w:t>
            </w:r>
          </w:p>
          <w:p w:rsidR="004D66F8" w:rsidRPr="0024492B" w:rsidRDefault="004D66F8" w:rsidP="00E372ED">
            <w:pPr>
              <w:pStyle w:val="a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4492B">
              <w:rPr>
                <w:rStyle w:val="FontStyle12"/>
                <w:sz w:val="24"/>
                <w:szCs w:val="24"/>
              </w:rPr>
              <w:t>Администрация Дичнянского сельсовета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6F8" w:rsidRPr="0024492B" w:rsidRDefault="004D66F8" w:rsidP="002A1597">
            <w:pPr>
              <w:pStyle w:val="a3"/>
              <w:rPr>
                <w:rStyle w:val="FontStyle12"/>
                <w:sz w:val="24"/>
                <w:szCs w:val="24"/>
              </w:rPr>
            </w:pPr>
            <w:r w:rsidRPr="0024492B">
              <w:rPr>
                <w:rStyle w:val="FontStyle12"/>
                <w:sz w:val="24"/>
                <w:szCs w:val="24"/>
              </w:rPr>
              <w:t>Раз в полгода</w:t>
            </w:r>
          </w:p>
        </w:tc>
      </w:tr>
    </w:tbl>
    <w:p w:rsidR="004D66F8" w:rsidRPr="0024492B" w:rsidRDefault="004D66F8" w:rsidP="001B22D4">
      <w:pPr>
        <w:pStyle w:val="tekstob"/>
        <w:tabs>
          <w:tab w:val="left" w:pos="10249"/>
        </w:tabs>
        <w:spacing w:before="0" w:beforeAutospacing="0" w:after="0" w:afterAutospacing="0"/>
        <w:sectPr w:rsidR="004D66F8" w:rsidRPr="0024492B" w:rsidSect="000E728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1B22D4">
      <w:pPr>
        <w:pStyle w:val="tekstob"/>
        <w:spacing w:before="0" w:beforeAutospacing="0" w:after="0" w:afterAutospacing="0"/>
        <w:jc w:val="both"/>
      </w:pPr>
    </w:p>
    <w:p w:rsidR="004D66F8" w:rsidRPr="0024492B" w:rsidRDefault="004D66F8" w:rsidP="000E728D">
      <w:pPr>
        <w:tabs>
          <w:tab w:val="left" w:pos="820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  <w:lang w:val="en-US"/>
        </w:rPr>
        <w:t>VI</w:t>
      </w:r>
      <w:r w:rsidRPr="0024492B">
        <w:rPr>
          <w:rFonts w:ascii="Times New Roman" w:hAnsi="Times New Roman"/>
          <w:sz w:val="24"/>
          <w:szCs w:val="24"/>
        </w:rPr>
        <w:t xml:space="preserve"> Показатели нормативов для согласования  Плана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  <w:r w:rsidRPr="0024492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мероприятий «Дорожная карта»   </w:t>
      </w:r>
    </w:p>
    <w:p w:rsidR="004D66F8" w:rsidRPr="0024492B" w:rsidRDefault="004D66F8" w:rsidP="001B22D4">
      <w:pPr>
        <w:tabs>
          <w:tab w:val="left" w:pos="8200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6"/>
        <w:gridCol w:w="2978"/>
        <w:gridCol w:w="1227"/>
        <w:gridCol w:w="1236"/>
        <w:gridCol w:w="1244"/>
        <w:gridCol w:w="1267"/>
        <w:gridCol w:w="1243"/>
        <w:gridCol w:w="1252"/>
        <w:gridCol w:w="1265"/>
        <w:gridCol w:w="1196"/>
        <w:gridCol w:w="1196"/>
      </w:tblGrid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2012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факт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2013 г.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факт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2014 г.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2015 г.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2016 г.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2017 г.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2018г.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г.- 2016 г.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2014 г.- 2018 г.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Норматив числа получателей услуг на 1  работника учреждений культуры ( по среднесписочной численности работников)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334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Число получателей  услуг, и чел.</w:t>
            </w:r>
          </w:p>
        </w:tc>
        <w:tc>
          <w:tcPr>
            <w:tcW w:w="122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18 230</w:t>
            </w:r>
          </w:p>
        </w:tc>
        <w:tc>
          <w:tcPr>
            <w:tcW w:w="1244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18500</w:t>
            </w:r>
          </w:p>
        </w:tc>
        <w:tc>
          <w:tcPr>
            <w:tcW w:w="1267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18434</w:t>
            </w:r>
          </w:p>
        </w:tc>
        <w:tc>
          <w:tcPr>
            <w:tcW w:w="1243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15147</w:t>
            </w:r>
          </w:p>
        </w:tc>
        <w:tc>
          <w:tcPr>
            <w:tcW w:w="1252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265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17 900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0E72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 учреждений культуры, человек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Численность населения субъекта Российской Федерации ,чел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3007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средней заработной платы работников учреждений культуры  и средней заработной платы в субъекте Российской Федерации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Программе поэтапного совершенствования систем оплаты труда в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учреждениях  культуры на 2012-2018 годы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49,0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53,0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59,0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65,0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74,0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85,0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По Плану мероприятий («дорожной карте»)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«Изменение в отраслях социальной сферы, направленные на повышение эффективности сферы культуры»,%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56,1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64,9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91,2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По Дичнянскому сельсовету 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236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381">
              <w:rPr>
                <w:rFonts w:ascii="Times New Roman" w:hAnsi="Times New Roman"/>
                <w:sz w:val="24"/>
                <w:szCs w:val="24"/>
              </w:rPr>
              <w:t xml:space="preserve">  64,9</w:t>
            </w:r>
          </w:p>
        </w:tc>
        <w:tc>
          <w:tcPr>
            <w:tcW w:w="1267" w:type="dxa"/>
          </w:tcPr>
          <w:p w:rsidR="004D66F8" w:rsidRPr="0024492B" w:rsidRDefault="00371381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73</w:t>
            </w:r>
            <w:r w:rsidR="004D66F8" w:rsidRPr="0024492B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82,4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100,0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AF3881" w:rsidRPr="0024492B" w:rsidTr="00AF3881">
        <w:tc>
          <w:tcPr>
            <w:tcW w:w="45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78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Средняя заработная плата работников по субъекту Российской Федерации ,руб.</w:t>
            </w:r>
          </w:p>
        </w:tc>
        <w:tc>
          <w:tcPr>
            <w:tcW w:w="1227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AF3881" w:rsidRPr="000D2C7A" w:rsidRDefault="00AF3881" w:rsidP="00AF3881">
            <w:r w:rsidRPr="000D2C7A">
              <w:t>21128</w:t>
            </w:r>
          </w:p>
        </w:tc>
        <w:tc>
          <w:tcPr>
            <w:tcW w:w="1244" w:type="dxa"/>
          </w:tcPr>
          <w:p w:rsidR="00AF3881" w:rsidRPr="000D2C7A" w:rsidRDefault="00AF3881" w:rsidP="00AF3881">
            <w:r w:rsidRPr="000D2C7A">
              <w:t>22805</w:t>
            </w:r>
          </w:p>
        </w:tc>
        <w:tc>
          <w:tcPr>
            <w:tcW w:w="1267" w:type="dxa"/>
          </w:tcPr>
          <w:p w:rsidR="00AF3881" w:rsidRPr="000D2C7A" w:rsidRDefault="00AF3881" w:rsidP="00AF3881">
            <w:r w:rsidRPr="000D2C7A">
              <w:t>24750</w:t>
            </w:r>
          </w:p>
        </w:tc>
        <w:tc>
          <w:tcPr>
            <w:tcW w:w="1243" w:type="dxa"/>
          </w:tcPr>
          <w:p w:rsidR="00AF3881" w:rsidRPr="000D2C7A" w:rsidRDefault="00AF3881" w:rsidP="00AF3881">
            <w:r w:rsidRPr="000D2C7A">
              <w:t>26820</w:t>
            </w:r>
          </w:p>
        </w:tc>
        <w:tc>
          <w:tcPr>
            <w:tcW w:w="1252" w:type="dxa"/>
          </w:tcPr>
          <w:p w:rsidR="00AF3881" w:rsidRPr="000D2C7A" w:rsidRDefault="00AF3881" w:rsidP="00AF3881">
            <w:r w:rsidRPr="000D2C7A">
              <w:t>30146</w:t>
            </w:r>
          </w:p>
        </w:tc>
        <w:tc>
          <w:tcPr>
            <w:tcW w:w="1265" w:type="dxa"/>
          </w:tcPr>
          <w:p w:rsidR="00AF3881" w:rsidRDefault="00AF3881" w:rsidP="00AF3881">
            <w:r w:rsidRPr="000D2C7A">
              <w:t>33673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3881" w:rsidRPr="0024492B" w:rsidRDefault="00AF3881" w:rsidP="00AF3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244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7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107,9</w:t>
            </w:r>
          </w:p>
        </w:tc>
        <w:tc>
          <w:tcPr>
            <w:tcW w:w="1243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65" w:type="dxa"/>
          </w:tcPr>
          <w:p w:rsidR="004D66F8" w:rsidRPr="0024492B" w:rsidRDefault="004D66F8" w:rsidP="003713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371381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Среднемесячная заработная плата работников учреждений культуры, 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11 739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14 800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24492B">
              <w:rPr>
                <w:rFonts w:ascii="Times New Roman" w:hAnsi="Times New Roman"/>
                <w:sz w:val="24"/>
                <w:szCs w:val="24"/>
              </w:rPr>
              <w:t>241</w:t>
            </w:r>
          </w:p>
        </w:tc>
        <w:tc>
          <w:tcPr>
            <w:tcW w:w="1243" w:type="dxa"/>
          </w:tcPr>
          <w:p w:rsidR="004D66F8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16147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30 146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33 673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Темп роста к предыдущему году 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123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Доля от средств от приносящей доход деятельности в фонде заработной платы по отдельной категории работников (план- предложение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федерального Министерства),%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Размер начислений на фонд оплаты  труда, %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1,302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1,302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1,302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1,302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1,302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 х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Фонд оплаты труда с начислениями,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1,5         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1,4        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0,4      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Прирост фонда оплаты труда с начислениями к 2013 г. млн 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средств консолидированного бюджета субъекта Российской Федерации, включая дотацию из Федерального бюджета, млн.руб.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Включая средства, полученные за счет проведения мероприятий по оптимизации, из них: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реструктуризации сети,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От оптимизации численности персонала, в том числе административно- управленческого персонала ,млн.рублей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-0,1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-1,1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-1,0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-0,8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-2,2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-3,8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От сокращения и оптимизации расходов на </w:t>
            </w:r>
            <w:r w:rsidRPr="0024492B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учреждений, млн.рублей.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счет средств от приносящей доход деятельности,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 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За счёт иных источников (решений),включая корректировку консолидированного бюджета Российской Федерации на соответствующий год, млн.рублей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0,0</w:t>
            </w: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Итого, объём средств, предусмотренный на повышение оплаты труда ,млн.руб.(стр.18+23+24)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66F8" w:rsidRPr="0024492B" w:rsidTr="00AF3881">
        <w:tc>
          <w:tcPr>
            <w:tcW w:w="45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78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>Соотношение объёма средств от оптимизации к сумме объёма средств, предусмотренного на повышение оплаты труда, % (стр.25*100%)</w:t>
            </w:r>
          </w:p>
        </w:tc>
        <w:tc>
          <w:tcPr>
            <w:tcW w:w="122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92B">
              <w:rPr>
                <w:rFonts w:ascii="Times New Roman" w:hAnsi="Times New Roman"/>
                <w:sz w:val="24"/>
                <w:szCs w:val="24"/>
              </w:rPr>
              <w:t xml:space="preserve">         Х</w:t>
            </w:r>
          </w:p>
        </w:tc>
        <w:tc>
          <w:tcPr>
            <w:tcW w:w="123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3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5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4D66F8" w:rsidRPr="0024492B" w:rsidRDefault="004D66F8" w:rsidP="004C0D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66F8" w:rsidRPr="0024492B" w:rsidRDefault="004D66F8" w:rsidP="005D0A6A">
      <w:pPr>
        <w:pStyle w:val="tekstob"/>
        <w:spacing w:before="0" w:beforeAutospacing="0" w:after="0" w:afterAutospacing="0"/>
        <w:sectPr w:rsidR="004D66F8" w:rsidRPr="0024492B" w:rsidSect="0024492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D66F8" w:rsidRPr="0024492B" w:rsidRDefault="004D66F8" w:rsidP="000E728D">
      <w:pPr>
        <w:pStyle w:val="tekstob"/>
        <w:spacing w:before="0" w:beforeAutospacing="0" w:after="0" w:afterAutospacing="0"/>
        <w:jc w:val="both"/>
      </w:pPr>
    </w:p>
    <w:sectPr w:rsidR="004D66F8" w:rsidRPr="0024492B" w:rsidSect="0024492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73F" w:rsidRDefault="0046273F" w:rsidP="00A67A5D">
      <w:pPr>
        <w:spacing w:after="0" w:line="240" w:lineRule="auto"/>
      </w:pPr>
      <w:r>
        <w:separator/>
      </w:r>
    </w:p>
  </w:endnote>
  <w:endnote w:type="continuationSeparator" w:id="0">
    <w:p w:rsidR="0046273F" w:rsidRDefault="0046273F" w:rsidP="00A6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73F" w:rsidRDefault="0046273F" w:rsidP="00A67A5D">
      <w:pPr>
        <w:spacing w:after="0" w:line="240" w:lineRule="auto"/>
      </w:pPr>
      <w:r>
        <w:separator/>
      </w:r>
    </w:p>
  </w:footnote>
  <w:footnote w:type="continuationSeparator" w:id="0">
    <w:p w:rsidR="0046273F" w:rsidRDefault="0046273F" w:rsidP="00A6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A04EE"/>
    <w:multiLevelType w:val="hybridMultilevel"/>
    <w:tmpl w:val="6570F03C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1AB65CD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AA1A7F"/>
    <w:multiLevelType w:val="multilevel"/>
    <w:tmpl w:val="DC2AF5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4EAB44A4"/>
    <w:multiLevelType w:val="hybridMultilevel"/>
    <w:tmpl w:val="3A2ADC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F181ED4"/>
    <w:multiLevelType w:val="hybridMultilevel"/>
    <w:tmpl w:val="088A1AD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421"/>
    <w:rsid w:val="00003153"/>
    <w:rsid w:val="00023F02"/>
    <w:rsid w:val="00026452"/>
    <w:rsid w:val="00031127"/>
    <w:rsid w:val="000328C6"/>
    <w:rsid w:val="000343AF"/>
    <w:rsid w:val="00034DB9"/>
    <w:rsid w:val="00046214"/>
    <w:rsid w:val="000474D0"/>
    <w:rsid w:val="00050501"/>
    <w:rsid w:val="00050EE5"/>
    <w:rsid w:val="00084EA9"/>
    <w:rsid w:val="00085DEA"/>
    <w:rsid w:val="000C607F"/>
    <w:rsid w:val="000E728D"/>
    <w:rsid w:val="000F4FFA"/>
    <w:rsid w:val="00110837"/>
    <w:rsid w:val="001113B1"/>
    <w:rsid w:val="00112053"/>
    <w:rsid w:val="001322A4"/>
    <w:rsid w:val="001361AE"/>
    <w:rsid w:val="001659ED"/>
    <w:rsid w:val="0017032B"/>
    <w:rsid w:val="00170F89"/>
    <w:rsid w:val="00185866"/>
    <w:rsid w:val="001954D9"/>
    <w:rsid w:val="001B22D4"/>
    <w:rsid w:val="001C383E"/>
    <w:rsid w:val="001C6104"/>
    <w:rsid w:val="001F091C"/>
    <w:rsid w:val="001F2DCE"/>
    <w:rsid w:val="002007F6"/>
    <w:rsid w:val="00204BF5"/>
    <w:rsid w:val="00241239"/>
    <w:rsid w:val="0024403E"/>
    <w:rsid w:val="0024492B"/>
    <w:rsid w:val="00245A7B"/>
    <w:rsid w:val="002466BB"/>
    <w:rsid w:val="0025122C"/>
    <w:rsid w:val="00252D3C"/>
    <w:rsid w:val="002575E9"/>
    <w:rsid w:val="00260B53"/>
    <w:rsid w:val="002658EF"/>
    <w:rsid w:val="00267BC7"/>
    <w:rsid w:val="00273656"/>
    <w:rsid w:val="00274310"/>
    <w:rsid w:val="0027560E"/>
    <w:rsid w:val="00275A0B"/>
    <w:rsid w:val="00282D0C"/>
    <w:rsid w:val="00285C3C"/>
    <w:rsid w:val="00286658"/>
    <w:rsid w:val="00291CAA"/>
    <w:rsid w:val="00293905"/>
    <w:rsid w:val="002A1597"/>
    <w:rsid w:val="002A1723"/>
    <w:rsid w:val="002A1B92"/>
    <w:rsid w:val="002B5566"/>
    <w:rsid w:val="002C248A"/>
    <w:rsid w:val="002C3543"/>
    <w:rsid w:val="002D47AC"/>
    <w:rsid w:val="002E310C"/>
    <w:rsid w:val="002F7D45"/>
    <w:rsid w:val="003119C5"/>
    <w:rsid w:val="00316127"/>
    <w:rsid w:val="0031632F"/>
    <w:rsid w:val="00321B3C"/>
    <w:rsid w:val="00323352"/>
    <w:rsid w:val="00327C3F"/>
    <w:rsid w:val="00330384"/>
    <w:rsid w:val="00335C81"/>
    <w:rsid w:val="0034288B"/>
    <w:rsid w:val="00344C98"/>
    <w:rsid w:val="00366B9B"/>
    <w:rsid w:val="0037124B"/>
    <w:rsid w:val="00371381"/>
    <w:rsid w:val="0038655E"/>
    <w:rsid w:val="003904F7"/>
    <w:rsid w:val="003A3F27"/>
    <w:rsid w:val="003B6C58"/>
    <w:rsid w:val="003C06A7"/>
    <w:rsid w:val="003C0AE7"/>
    <w:rsid w:val="003C2031"/>
    <w:rsid w:val="003D7FCB"/>
    <w:rsid w:val="003E5B4A"/>
    <w:rsid w:val="003F310E"/>
    <w:rsid w:val="00415E46"/>
    <w:rsid w:val="0043152B"/>
    <w:rsid w:val="00431999"/>
    <w:rsid w:val="00433B4B"/>
    <w:rsid w:val="00434101"/>
    <w:rsid w:val="004417AE"/>
    <w:rsid w:val="00442673"/>
    <w:rsid w:val="0046273F"/>
    <w:rsid w:val="00463D55"/>
    <w:rsid w:val="00466720"/>
    <w:rsid w:val="0047043F"/>
    <w:rsid w:val="00486BDD"/>
    <w:rsid w:val="004967E8"/>
    <w:rsid w:val="004A42EC"/>
    <w:rsid w:val="004C0B05"/>
    <w:rsid w:val="004C0D43"/>
    <w:rsid w:val="004C6D8C"/>
    <w:rsid w:val="004D66F8"/>
    <w:rsid w:val="004F7D38"/>
    <w:rsid w:val="00502CED"/>
    <w:rsid w:val="00503421"/>
    <w:rsid w:val="005105D1"/>
    <w:rsid w:val="0051716F"/>
    <w:rsid w:val="00554182"/>
    <w:rsid w:val="00565FA0"/>
    <w:rsid w:val="00580A57"/>
    <w:rsid w:val="00581F7A"/>
    <w:rsid w:val="00590359"/>
    <w:rsid w:val="0059305D"/>
    <w:rsid w:val="005967D9"/>
    <w:rsid w:val="005D0A6A"/>
    <w:rsid w:val="005E48FF"/>
    <w:rsid w:val="00612172"/>
    <w:rsid w:val="006138CA"/>
    <w:rsid w:val="00623375"/>
    <w:rsid w:val="00623D2A"/>
    <w:rsid w:val="00625ECD"/>
    <w:rsid w:val="00643381"/>
    <w:rsid w:val="00651975"/>
    <w:rsid w:val="00653F17"/>
    <w:rsid w:val="00655F28"/>
    <w:rsid w:val="00656A80"/>
    <w:rsid w:val="00657AC1"/>
    <w:rsid w:val="00671B0B"/>
    <w:rsid w:val="006909E8"/>
    <w:rsid w:val="006956DB"/>
    <w:rsid w:val="006A3FBD"/>
    <w:rsid w:val="006A4FD9"/>
    <w:rsid w:val="006A58D2"/>
    <w:rsid w:val="006A5955"/>
    <w:rsid w:val="006C2DC1"/>
    <w:rsid w:val="006F41EE"/>
    <w:rsid w:val="006F4B7F"/>
    <w:rsid w:val="007155A0"/>
    <w:rsid w:val="00721623"/>
    <w:rsid w:val="0072475A"/>
    <w:rsid w:val="00725612"/>
    <w:rsid w:val="007310C1"/>
    <w:rsid w:val="00752731"/>
    <w:rsid w:val="00764431"/>
    <w:rsid w:val="007719E2"/>
    <w:rsid w:val="00794731"/>
    <w:rsid w:val="0079578B"/>
    <w:rsid w:val="007961D4"/>
    <w:rsid w:val="007B0BB3"/>
    <w:rsid w:val="007B3048"/>
    <w:rsid w:val="007D52BD"/>
    <w:rsid w:val="007D5AE7"/>
    <w:rsid w:val="007D6C34"/>
    <w:rsid w:val="007E323B"/>
    <w:rsid w:val="007E4548"/>
    <w:rsid w:val="007E6734"/>
    <w:rsid w:val="007F1785"/>
    <w:rsid w:val="007F71AC"/>
    <w:rsid w:val="007F76B3"/>
    <w:rsid w:val="0081208D"/>
    <w:rsid w:val="00812DC7"/>
    <w:rsid w:val="00833A3C"/>
    <w:rsid w:val="00835187"/>
    <w:rsid w:val="008356BE"/>
    <w:rsid w:val="00884E73"/>
    <w:rsid w:val="0089096B"/>
    <w:rsid w:val="00890B86"/>
    <w:rsid w:val="00890EF2"/>
    <w:rsid w:val="008B5CB6"/>
    <w:rsid w:val="008B7AF9"/>
    <w:rsid w:val="008C6274"/>
    <w:rsid w:val="008E236D"/>
    <w:rsid w:val="008F006E"/>
    <w:rsid w:val="008F1A4E"/>
    <w:rsid w:val="008F5A4E"/>
    <w:rsid w:val="009129CA"/>
    <w:rsid w:val="00915DB3"/>
    <w:rsid w:val="00917506"/>
    <w:rsid w:val="0093047E"/>
    <w:rsid w:val="00930F7A"/>
    <w:rsid w:val="00940264"/>
    <w:rsid w:val="0095021C"/>
    <w:rsid w:val="009573A4"/>
    <w:rsid w:val="0096509F"/>
    <w:rsid w:val="00966975"/>
    <w:rsid w:val="00981F0E"/>
    <w:rsid w:val="0099689F"/>
    <w:rsid w:val="009A0174"/>
    <w:rsid w:val="009B3BC4"/>
    <w:rsid w:val="009B7AE0"/>
    <w:rsid w:val="009D239A"/>
    <w:rsid w:val="009E16A0"/>
    <w:rsid w:val="009E549C"/>
    <w:rsid w:val="009E6F0B"/>
    <w:rsid w:val="00A05652"/>
    <w:rsid w:val="00A05807"/>
    <w:rsid w:val="00A132E8"/>
    <w:rsid w:val="00A13BC2"/>
    <w:rsid w:val="00A17056"/>
    <w:rsid w:val="00A26917"/>
    <w:rsid w:val="00A44266"/>
    <w:rsid w:val="00A45023"/>
    <w:rsid w:val="00A47639"/>
    <w:rsid w:val="00A548C0"/>
    <w:rsid w:val="00A5603C"/>
    <w:rsid w:val="00A648E8"/>
    <w:rsid w:val="00A67A5D"/>
    <w:rsid w:val="00A70B71"/>
    <w:rsid w:val="00A77522"/>
    <w:rsid w:val="00A85089"/>
    <w:rsid w:val="00A86BC7"/>
    <w:rsid w:val="00A87B64"/>
    <w:rsid w:val="00A90893"/>
    <w:rsid w:val="00AA0093"/>
    <w:rsid w:val="00AA7E37"/>
    <w:rsid w:val="00AB0845"/>
    <w:rsid w:val="00AB0D93"/>
    <w:rsid w:val="00AC51D6"/>
    <w:rsid w:val="00AE14C0"/>
    <w:rsid w:val="00AE59FE"/>
    <w:rsid w:val="00AF3881"/>
    <w:rsid w:val="00B0794A"/>
    <w:rsid w:val="00B1748C"/>
    <w:rsid w:val="00B42E68"/>
    <w:rsid w:val="00B44EE8"/>
    <w:rsid w:val="00B8319A"/>
    <w:rsid w:val="00B85EE7"/>
    <w:rsid w:val="00BA0201"/>
    <w:rsid w:val="00BC000C"/>
    <w:rsid w:val="00BC0C9D"/>
    <w:rsid w:val="00BD5934"/>
    <w:rsid w:val="00BD6DE3"/>
    <w:rsid w:val="00BF4AD6"/>
    <w:rsid w:val="00C20A4C"/>
    <w:rsid w:val="00C22961"/>
    <w:rsid w:val="00C346C0"/>
    <w:rsid w:val="00C52DFB"/>
    <w:rsid w:val="00C606DB"/>
    <w:rsid w:val="00C61B62"/>
    <w:rsid w:val="00C629F3"/>
    <w:rsid w:val="00C647A0"/>
    <w:rsid w:val="00C848E0"/>
    <w:rsid w:val="00C91B96"/>
    <w:rsid w:val="00C95445"/>
    <w:rsid w:val="00C96833"/>
    <w:rsid w:val="00CB3196"/>
    <w:rsid w:val="00CC4046"/>
    <w:rsid w:val="00CD5E11"/>
    <w:rsid w:val="00CE62BB"/>
    <w:rsid w:val="00CF781F"/>
    <w:rsid w:val="00D029C9"/>
    <w:rsid w:val="00D07E6D"/>
    <w:rsid w:val="00D15043"/>
    <w:rsid w:val="00D156B1"/>
    <w:rsid w:val="00D17E99"/>
    <w:rsid w:val="00D21E30"/>
    <w:rsid w:val="00D350F8"/>
    <w:rsid w:val="00D61452"/>
    <w:rsid w:val="00D657A7"/>
    <w:rsid w:val="00DA2039"/>
    <w:rsid w:val="00DB2C9D"/>
    <w:rsid w:val="00DC4225"/>
    <w:rsid w:val="00DC734B"/>
    <w:rsid w:val="00DD0072"/>
    <w:rsid w:val="00DE61BE"/>
    <w:rsid w:val="00E061F0"/>
    <w:rsid w:val="00E07873"/>
    <w:rsid w:val="00E1182F"/>
    <w:rsid w:val="00E1678E"/>
    <w:rsid w:val="00E278C2"/>
    <w:rsid w:val="00E372ED"/>
    <w:rsid w:val="00E43BC7"/>
    <w:rsid w:val="00E62F8B"/>
    <w:rsid w:val="00E774AC"/>
    <w:rsid w:val="00E851BA"/>
    <w:rsid w:val="00EA1EE7"/>
    <w:rsid w:val="00EA54B6"/>
    <w:rsid w:val="00EC5ADA"/>
    <w:rsid w:val="00EC70B4"/>
    <w:rsid w:val="00EE18A5"/>
    <w:rsid w:val="00F00F1B"/>
    <w:rsid w:val="00F149C8"/>
    <w:rsid w:val="00F25E89"/>
    <w:rsid w:val="00F430FF"/>
    <w:rsid w:val="00F466C3"/>
    <w:rsid w:val="00F4740F"/>
    <w:rsid w:val="00F569F9"/>
    <w:rsid w:val="00F61C0C"/>
    <w:rsid w:val="00F65CA2"/>
    <w:rsid w:val="00F71275"/>
    <w:rsid w:val="00F74972"/>
    <w:rsid w:val="00F84924"/>
    <w:rsid w:val="00F9607A"/>
    <w:rsid w:val="00F9728C"/>
    <w:rsid w:val="00FA1170"/>
    <w:rsid w:val="00FA4999"/>
    <w:rsid w:val="00FC290D"/>
    <w:rsid w:val="00FC698C"/>
    <w:rsid w:val="00FE0481"/>
    <w:rsid w:val="00FE376A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9F0642-5AAB-4D55-A077-E80075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5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3421"/>
  </w:style>
  <w:style w:type="paragraph" w:styleId="a5">
    <w:name w:val="Normal (Web)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ekstob">
    <w:name w:val="tekstob"/>
    <w:basedOn w:val="a"/>
    <w:uiPriority w:val="99"/>
    <w:rsid w:val="003C0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uiPriority w:val="99"/>
    <w:locked/>
    <w:rsid w:val="003C06A7"/>
    <w:rPr>
      <w:b/>
      <w:sz w:val="32"/>
    </w:rPr>
  </w:style>
  <w:style w:type="paragraph" w:styleId="a6">
    <w:name w:val="Body Text"/>
    <w:basedOn w:val="a"/>
    <w:link w:val="a7"/>
    <w:uiPriority w:val="99"/>
    <w:rsid w:val="003C06A7"/>
    <w:pPr>
      <w:widowControl w:val="0"/>
      <w:snapToGrid w:val="0"/>
      <w:spacing w:after="0" w:line="256" w:lineRule="auto"/>
      <w:jc w:val="center"/>
    </w:pPr>
    <w:rPr>
      <w:b/>
      <w:sz w:val="32"/>
      <w:szCs w:val="20"/>
    </w:rPr>
  </w:style>
  <w:style w:type="character" w:customStyle="1" w:styleId="BodyTextChar1">
    <w:name w:val="Body Text Char1"/>
    <w:basedOn w:val="a0"/>
    <w:uiPriority w:val="99"/>
    <w:semiHidden/>
    <w:locked/>
    <w:rsid w:val="009A0174"/>
    <w:rPr>
      <w:rFonts w:cs="Times New Roma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C06A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C0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3C06A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72475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2">
    <w:name w:val="Font Style12"/>
    <w:basedOn w:val="a0"/>
    <w:uiPriority w:val="99"/>
    <w:rsid w:val="006A3FBD"/>
    <w:rPr>
      <w:rFonts w:ascii="Times New Roman" w:hAnsi="Times New Roman" w:cs="Times New Roman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locked/>
    <w:rsid w:val="00A17056"/>
    <w:rPr>
      <w:rFonts w:cs="Times New Roman"/>
      <w:sz w:val="22"/>
      <w:szCs w:val="22"/>
      <w:lang w:val="ru-RU" w:eastAsia="ru-RU" w:bidi="ar-SA"/>
    </w:rPr>
  </w:style>
  <w:style w:type="paragraph" w:customStyle="1" w:styleId="ConsPlusCell">
    <w:name w:val="ConsPlusCell"/>
    <w:uiPriority w:val="99"/>
    <w:rsid w:val="00A70B71"/>
    <w:pPr>
      <w:widowControl w:val="0"/>
      <w:autoSpaceDE w:val="0"/>
      <w:autoSpaceDN w:val="0"/>
      <w:adjustRightInd w:val="0"/>
    </w:pPr>
    <w:rPr>
      <w:rFonts w:eastAsia="MS Mincho" w:cs="Calibri"/>
    </w:rPr>
  </w:style>
  <w:style w:type="paragraph" w:styleId="ab">
    <w:name w:val="header"/>
    <w:basedOn w:val="a"/>
    <w:link w:val="ac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sid w:val="00A67A5D"/>
    <w:rPr>
      <w:rFonts w:cs="Times New Roman"/>
    </w:rPr>
  </w:style>
  <w:style w:type="paragraph" w:styleId="ad">
    <w:name w:val="footer"/>
    <w:basedOn w:val="a"/>
    <w:link w:val="ae"/>
    <w:uiPriority w:val="99"/>
    <w:semiHidden/>
    <w:rsid w:val="00A67A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A67A5D"/>
    <w:rPr>
      <w:rFonts w:cs="Times New Roman"/>
    </w:rPr>
  </w:style>
  <w:style w:type="paragraph" w:styleId="af">
    <w:name w:val="List Paragraph"/>
    <w:basedOn w:val="a"/>
    <w:uiPriority w:val="99"/>
    <w:qFormat/>
    <w:rsid w:val="00EA5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31E2F62A1CCE0C2B526A8D0DD69F3A98AD876DBBCAD41FB724A382F270413169E33E19295DE56BTBH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231E2F62A1CCE0C2B526A8D0DD69F3A98AC866DBECDD41FB724A382F2T7H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31E2F62A1CCE0C2B526A8D0DD69F3A98AC866DBECDD41FB724A382F2T7H0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23</Pages>
  <Words>4933</Words>
  <Characters>28121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Молодёжь</Company>
  <LinksUpToDate>false</LinksUpToDate>
  <CharactersWithSpaces>32989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d7</cp:lastModifiedBy>
  <cp:revision>5</cp:revision>
  <cp:lastPrinted>2017-08-23T08:07:00Z</cp:lastPrinted>
  <dcterms:created xsi:type="dcterms:W3CDTF">2017-03-17T07:28:00Z</dcterms:created>
  <dcterms:modified xsi:type="dcterms:W3CDTF">2017-08-23T08:09:00Z</dcterms:modified>
</cp:coreProperties>
</file>